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D8" w:rsidRPr="00166086" w:rsidRDefault="007A6AD8" w:rsidP="007A6AD8">
      <w:pPr>
        <w:spacing w:after="120" w:line="240" w:lineRule="auto"/>
        <w:rPr>
          <w:rFonts w:cstheme="minorHAnsi"/>
          <w:i/>
          <w:color w:val="808080" w:themeColor="background1" w:themeShade="80"/>
          <w:sz w:val="20"/>
        </w:rPr>
      </w:pPr>
      <w:r w:rsidRPr="00166086">
        <w:rPr>
          <w:rFonts w:cstheme="minorHAnsi"/>
          <w:i/>
          <w:color w:val="808080" w:themeColor="background1" w:themeShade="80"/>
          <w:sz w:val="20"/>
        </w:rPr>
        <w:t xml:space="preserve">Note:  This alignment sample is intended to highlight opportunities to use TI Technology to help facilitate students’ participation in the </w:t>
      </w:r>
      <w:r>
        <w:rPr>
          <w:rFonts w:cstheme="minorHAnsi"/>
          <w:i/>
          <w:color w:val="808080" w:themeColor="background1" w:themeShade="80"/>
          <w:sz w:val="20"/>
        </w:rPr>
        <w:t xml:space="preserve">CCSS Standards for </w:t>
      </w:r>
      <w:r w:rsidRPr="00166086">
        <w:rPr>
          <w:rFonts w:cstheme="minorHAnsi"/>
          <w:i/>
          <w:color w:val="808080" w:themeColor="background1" w:themeShade="80"/>
          <w:sz w:val="20"/>
        </w:rPr>
        <w:t>Math</w:t>
      </w:r>
      <w:r>
        <w:rPr>
          <w:rFonts w:cstheme="minorHAnsi"/>
          <w:i/>
          <w:color w:val="808080" w:themeColor="background1" w:themeShade="80"/>
          <w:sz w:val="20"/>
        </w:rPr>
        <w:t>ematical</w:t>
      </w:r>
      <w:r w:rsidR="0023586B">
        <w:rPr>
          <w:rFonts w:cstheme="minorHAnsi"/>
          <w:i/>
          <w:color w:val="808080" w:themeColor="background1" w:themeShade="80"/>
          <w:sz w:val="20"/>
        </w:rPr>
        <w:t xml:space="preserve"> Practice. </w:t>
      </w:r>
      <w:r w:rsidRPr="00166086">
        <w:rPr>
          <w:rFonts w:cstheme="minorHAnsi"/>
          <w:i/>
          <w:color w:val="808080" w:themeColor="background1" w:themeShade="80"/>
          <w:sz w:val="20"/>
        </w:rPr>
        <w:t xml:space="preserve">The prompts and examples provided here are from the Teacher and Student activity documents and demonstrate how the activity can be used to engage students in the </w:t>
      </w:r>
      <w:r>
        <w:rPr>
          <w:rFonts w:cstheme="minorHAnsi"/>
          <w:i/>
          <w:color w:val="808080" w:themeColor="background1" w:themeShade="80"/>
          <w:sz w:val="20"/>
        </w:rPr>
        <w:t>Practices</w:t>
      </w:r>
      <w:r w:rsidR="00675C7E">
        <w:rPr>
          <w:rFonts w:cstheme="minorHAnsi"/>
          <w:i/>
          <w:color w:val="808080" w:themeColor="background1" w:themeShade="80"/>
          <w:sz w:val="20"/>
        </w:rPr>
        <w:t xml:space="preserve">. </w:t>
      </w:r>
      <w:r w:rsidRPr="00166086">
        <w:rPr>
          <w:rFonts w:cstheme="minorHAnsi"/>
          <w:i/>
          <w:color w:val="808080" w:themeColor="background1" w:themeShade="80"/>
          <w:sz w:val="20"/>
        </w:rPr>
        <w:t xml:space="preserve">It is possible the activity can be used to engage students in the </w:t>
      </w:r>
      <w:r>
        <w:rPr>
          <w:rFonts w:cstheme="minorHAnsi"/>
          <w:i/>
          <w:color w:val="808080" w:themeColor="background1" w:themeShade="80"/>
          <w:sz w:val="20"/>
        </w:rPr>
        <w:t xml:space="preserve">other </w:t>
      </w:r>
      <w:r w:rsidRPr="00166086">
        <w:rPr>
          <w:rFonts w:cstheme="minorHAnsi"/>
          <w:i/>
          <w:color w:val="808080" w:themeColor="background1" w:themeShade="80"/>
          <w:sz w:val="20"/>
        </w:rPr>
        <w:t xml:space="preserve">Math Practices that are not specified here. </w:t>
      </w:r>
    </w:p>
    <w:tbl>
      <w:tblPr>
        <w:tblStyle w:val="TableGrid"/>
        <w:tblW w:w="1503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920"/>
      </w:tblGrid>
      <w:tr w:rsidR="00F54088" w:rsidRPr="00E63A94" w:rsidTr="000925B3">
        <w:trPr>
          <w:trHeight w:val="350"/>
        </w:trPr>
        <w:tc>
          <w:tcPr>
            <w:tcW w:w="1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088" w:rsidRPr="00E63A94" w:rsidRDefault="00F54088" w:rsidP="00B02475">
            <w:pPr>
              <w:spacing w:before="12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63A94">
              <w:rPr>
                <w:rFonts w:cstheme="minorHAnsi"/>
                <w:b/>
                <w:sz w:val="21"/>
                <w:szCs w:val="21"/>
              </w:rPr>
              <w:t>2.  Reason abstractly and quantitatively.</w:t>
            </w:r>
          </w:p>
        </w:tc>
      </w:tr>
      <w:tr w:rsidR="00F54088" w:rsidRPr="00E63A94" w:rsidTr="000925B3"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</w:tcPr>
          <w:p w:rsidR="00F54088" w:rsidRPr="00E63A94" w:rsidRDefault="00F54088" w:rsidP="00F54088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t>Students should: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Understand and explain the meaning of quantities and relationships in the problem.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Be able to represent a problem using words, numerical expressions or equations, graphs and diagrams.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 xml:space="preserve">Consider the units involved in the problem and use appropriate conversions, as needed. </w:t>
            </w:r>
          </w:p>
        </w:tc>
        <w:tc>
          <w:tcPr>
            <w:tcW w:w="7920" w:type="dxa"/>
            <w:tcBorders>
              <w:top w:val="single" w:sz="4" w:space="0" w:color="auto"/>
              <w:right w:val="single" w:sz="4" w:space="0" w:color="auto"/>
            </w:tcBorders>
          </w:tcPr>
          <w:p w:rsidR="00F54088" w:rsidRPr="00E63A94" w:rsidRDefault="007A6AD8" w:rsidP="00F54088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t xml:space="preserve">TI-Nspire™ </w:t>
            </w:r>
            <w:r w:rsidR="00F54088" w:rsidRPr="00E63A94">
              <w:rPr>
                <w:rFonts w:cstheme="minorHAnsi"/>
                <w:i/>
                <w:sz w:val="21"/>
                <w:szCs w:val="21"/>
              </w:rPr>
              <w:t>Technology and Teaching Tips: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Ask students to explain the meaning of the domain in the context of a real world problem.</w:t>
            </w:r>
          </w:p>
          <w:p w:rsidR="00F54088" w:rsidRPr="00E63A94" w:rsidRDefault="001C4055" w:rsidP="00F54088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t>TI-Nspire</w:t>
            </w:r>
            <w:r w:rsidR="00F54088" w:rsidRPr="00E63A94">
              <w:rPr>
                <w:rFonts w:cstheme="minorHAnsi"/>
                <w:i/>
                <w:sz w:val="21"/>
                <w:szCs w:val="21"/>
              </w:rPr>
              <w:t>™  Navigator™ System Extension: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Use Live Presenter</w:t>
            </w:r>
            <w:r w:rsidR="001E49B7">
              <w:rPr>
                <w:rFonts w:asciiTheme="minorHAnsi" w:hAnsiTheme="minorHAnsi" w:cstheme="minorHAnsi"/>
                <w:sz w:val="21"/>
                <w:szCs w:val="21"/>
              </w:rPr>
              <w:t xml:space="preserve"> to have a student explain his/</w:t>
            </w: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her model or solution to a problem</w:t>
            </w:r>
            <w:r w:rsidR="007A6AD8" w:rsidRPr="00E63A94">
              <w:rPr>
                <w:rFonts w:asciiTheme="minorHAnsi" w:hAnsiTheme="minorHAnsi" w:cstheme="minorHAnsi"/>
                <w:sz w:val="21"/>
                <w:szCs w:val="21"/>
              </w:rPr>
              <w:t xml:space="preserve"> to the rest of the class</w:t>
            </w: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.  Encourage students to discuss the solution and how they could use similar reasoning to solve other problems.</w:t>
            </w:r>
          </w:p>
        </w:tc>
      </w:tr>
      <w:tr w:rsidR="00F54088" w:rsidRPr="00E63A94" w:rsidTr="000925B3">
        <w:trPr>
          <w:trHeight w:val="288"/>
        </w:trPr>
        <w:tc>
          <w:tcPr>
            <w:tcW w:w="1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54088" w:rsidRPr="00E63A94" w:rsidRDefault="00F54088" w:rsidP="00B02475">
            <w:pPr>
              <w:spacing w:before="12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63A94">
              <w:rPr>
                <w:rFonts w:cstheme="minorHAnsi"/>
                <w:b/>
                <w:sz w:val="21"/>
                <w:szCs w:val="21"/>
              </w:rPr>
              <w:t>5.  Use appropriate tools strategically.</w:t>
            </w:r>
          </w:p>
        </w:tc>
      </w:tr>
      <w:tr w:rsidR="00F54088" w:rsidRPr="00E63A94" w:rsidTr="000925B3"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54088" w:rsidRPr="00E63A94" w:rsidRDefault="00F54088" w:rsidP="00F54088">
            <w:pPr>
              <w:spacing w:after="120"/>
              <w:rPr>
                <w:rFonts w:cstheme="minorHAnsi"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t>Students should</w:t>
            </w:r>
            <w:r w:rsidRPr="00E63A94">
              <w:rPr>
                <w:rFonts w:cstheme="minorHAnsi"/>
                <w:sz w:val="21"/>
                <w:szCs w:val="21"/>
              </w:rPr>
              <w:t>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Consider the benefits and limitations of the available tools to decide which are appropriate for solving a given problem.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Understand how technology can help visualize and explore results, find patterns and compare relationships.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Use technology to model problems and to analyze and justify their results.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Use technology to deepen their understanding of concepts.</w:t>
            </w:r>
          </w:p>
        </w:tc>
        <w:tc>
          <w:tcPr>
            <w:tcW w:w="792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4088" w:rsidRPr="00E63A94" w:rsidRDefault="007A6AD8" w:rsidP="00F54088">
            <w:pPr>
              <w:spacing w:after="120"/>
              <w:rPr>
                <w:rFonts w:eastAsia="MS Gothic" w:cstheme="minorHAnsi"/>
                <w:i/>
                <w:sz w:val="21"/>
                <w:szCs w:val="21"/>
              </w:rPr>
            </w:pPr>
            <w:r w:rsidRPr="00E63A94">
              <w:rPr>
                <w:rFonts w:eastAsia="MS Gothic" w:cstheme="minorHAnsi"/>
                <w:i/>
                <w:sz w:val="21"/>
                <w:szCs w:val="21"/>
              </w:rPr>
              <w:t xml:space="preserve">TI-Nspire™ </w:t>
            </w:r>
            <w:r w:rsidR="00F54088" w:rsidRPr="00E63A94">
              <w:rPr>
                <w:rFonts w:eastAsia="MS Gothic" w:cstheme="minorHAnsi"/>
                <w:i/>
                <w:sz w:val="21"/>
                <w:szCs w:val="21"/>
              </w:rPr>
              <w:t>Technology and Teaching Tips: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 xml:space="preserve">Allow students to create their own function on a new Graphs page.  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Discuss what is needed to solve a problem and then determine which tools might be appropriate for solving it.</w:t>
            </w:r>
          </w:p>
          <w:p w:rsidR="00316A31" w:rsidRPr="00E63A94" w:rsidRDefault="001C4055" w:rsidP="00316A31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t>TI-Nspire</w:t>
            </w:r>
            <w:r w:rsidR="00316A31" w:rsidRPr="00E63A94">
              <w:rPr>
                <w:rFonts w:cstheme="minorHAnsi"/>
                <w:i/>
                <w:sz w:val="21"/>
                <w:szCs w:val="21"/>
              </w:rPr>
              <w:t>™  Navigator™ System Extension</w:t>
            </w:r>
            <w:r w:rsidR="00881E23">
              <w:rPr>
                <w:rFonts w:cstheme="minorHAnsi"/>
                <w:i/>
                <w:sz w:val="21"/>
                <w:szCs w:val="21"/>
              </w:rPr>
              <w:t>s</w:t>
            </w:r>
            <w:r w:rsidR="00316A31" w:rsidRPr="00E63A94">
              <w:rPr>
                <w:rFonts w:cstheme="minorHAnsi"/>
                <w:i/>
                <w:sz w:val="21"/>
                <w:szCs w:val="21"/>
              </w:rPr>
              <w:t>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 xml:space="preserve">Use Live Presenter to allow students to share their solutions </w:t>
            </w:r>
            <w:r w:rsidR="0082407E">
              <w:rPr>
                <w:rFonts w:asciiTheme="minorHAnsi" w:hAnsiTheme="minorHAnsi" w:cstheme="minorHAnsi"/>
                <w:sz w:val="21"/>
                <w:szCs w:val="21"/>
              </w:rPr>
              <w:t xml:space="preserve">and strategies for tool selection </w:t>
            </w: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 xml:space="preserve">with </w:t>
            </w:r>
            <w:r w:rsidR="007A6AD8" w:rsidRPr="00E63A94">
              <w:rPr>
                <w:rFonts w:asciiTheme="minorHAnsi" w:hAnsiTheme="minorHAnsi" w:cstheme="minorHAnsi"/>
                <w:sz w:val="21"/>
                <w:szCs w:val="21"/>
              </w:rPr>
              <w:t>one another.</w:t>
            </w:r>
          </w:p>
          <w:p w:rsidR="00F54088" w:rsidRPr="00E63A94" w:rsidRDefault="007A6AD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Use Quick Poll to assess the different tools and strategies the students consider useful to solving the problem.  Use the results of the poll to lead a discussion with the class about these strategies.</w:t>
            </w:r>
          </w:p>
        </w:tc>
      </w:tr>
      <w:tr w:rsidR="00F54088" w:rsidRPr="00E63A94" w:rsidTr="000925B3">
        <w:trPr>
          <w:trHeight w:val="305"/>
        </w:trPr>
        <w:tc>
          <w:tcPr>
            <w:tcW w:w="1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088" w:rsidRPr="00E63A94" w:rsidRDefault="00F54088" w:rsidP="00B02475">
            <w:pPr>
              <w:spacing w:before="12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63A94">
              <w:rPr>
                <w:rFonts w:cstheme="minorHAnsi"/>
                <w:b/>
                <w:sz w:val="21"/>
                <w:szCs w:val="21"/>
              </w:rPr>
              <w:t>6.  Attend to precision.</w:t>
            </w:r>
          </w:p>
        </w:tc>
      </w:tr>
      <w:tr w:rsidR="00F54088" w:rsidRPr="00E63A94" w:rsidTr="000925B3"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</w:tcPr>
          <w:p w:rsidR="00F54088" w:rsidRPr="00E63A94" w:rsidRDefault="00F54088" w:rsidP="00F54088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t>Students should: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Use clear definitions and precise mathematical language when justifying their conclusions.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Use correct symbols in expressions, label graphs accurately, specify correct units and appropriately use estimation to solve problems.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Express numerical answers with the appropriate degree of precision.</w:t>
            </w:r>
          </w:p>
        </w:tc>
        <w:tc>
          <w:tcPr>
            <w:tcW w:w="7920" w:type="dxa"/>
            <w:tcBorders>
              <w:top w:val="single" w:sz="4" w:space="0" w:color="auto"/>
              <w:right w:val="single" w:sz="4" w:space="0" w:color="auto"/>
            </w:tcBorders>
          </w:tcPr>
          <w:p w:rsidR="00F54088" w:rsidRPr="00E63A94" w:rsidRDefault="007A6AD8" w:rsidP="00F54088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lastRenderedPageBreak/>
              <w:t xml:space="preserve">TI-Nspire™ </w:t>
            </w:r>
            <w:r w:rsidR="00F54088" w:rsidRPr="00E63A94">
              <w:rPr>
                <w:rFonts w:cstheme="minorHAnsi"/>
                <w:i/>
                <w:sz w:val="21"/>
                <w:szCs w:val="21"/>
              </w:rPr>
              <w:t>Technology and Teaching Tips:</w:t>
            </w:r>
          </w:p>
          <w:p w:rsidR="00B02475" w:rsidRPr="00E63A94" w:rsidRDefault="00F54088" w:rsidP="00B0247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Discuss how to write and interpret symbolic expressions that describe the domain and range for a function.</w:t>
            </w:r>
          </w:p>
          <w:p w:rsidR="0082407E" w:rsidRDefault="0082407E" w:rsidP="00F54088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</w:p>
          <w:p w:rsidR="00F54088" w:rsidRPr="00E63A94" w:rsidRDefault="001C4055" w:rsidP="00F54088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lastRenderedPageBreak/>
              <w:t>TI-Nspire</w:t>
            </w:r>
            <w:r w:rsidR="00F54088" w:rsidRPr="00E63A94">
              <w:rPr>
                <w:rFonts w:cstheme="minorHAnsi"/>
                <w:i/>
                <w:sz w:val="21"/>
                <w:szCs w:val="21"/>
              </w:rPr>
              <w:t>™  Navigator™ System Extension</w:t>
            </w:r>
            <w:r w:rsidR="0082407E">
              <w:rPr>
                <w:rFonts w:cstheme="minorHAnsi"/>
                <w:i/>
                <w:sz w:val="21"/>
                <w:szCs w:val="21"/>
              </w:rPr>
              <w:t>s</w:t>
            </w:r>
            <w:r w:rsidR="00F54088" w:rsidRPr="00E63A94">
              <w:rPr>
                <w:rFonts w:cstheme="minorHAnsi"/>
                <w:i/>
                <w:sz w:val="21"/>
                <w:szCs w:val="21"/>
              </w:rPr>
              <w:t>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Use Class Capture to view students’ strategies for solving a problem and discuss the benefits of the selected strategies.  Be sure students use the correct mathematical language in their discussions.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Use the results from a Quick Poll to determine whether the responses attend to precision. Discuss how to use correct symbols and precise mathematical language to express ideas and solutions.</w:t>
            </w:r>
          </w:p>
        </w:tc>
      </w:tr>
      <w:tr w:rsidR="00F54088" w:rsidRPr="00E63A94" w:rsidTr="000925B3">
        <w:trPr>
          <w:trHeight w:val="288"/>
        </w:trPr>
        <w:tc>
          <w:tcPr>
            <w:tcW w:w="1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54088" w:rsidRPr="00E63A94" w:rsidRDefault="00F54088" w:rsidP="00B02475">
            <w:pPr>
              <w:spacing w:before="12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63A94">
              <w:rPr>
                <w:rFonts w:cstheme="minorHAnsi"/>
                <w:b/>
                <w:sz w:val="21"/>
                <w:szCs w:val="21"/>
              </w:rPr>
              <w:lastRenderedPageBreak/>
              <w:t>7.  Look for and make use of structure.</w:t>
            </w:r>
          </w:p>
        </w:tc>
      </w:tr>
      <w:tr w:rsidR="00F54088" w:rsidRPr="00E63A94" w:rsidTr="00F54088">
        <w:trPr>
          <w:trHeight w:val="1052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54088" w:rsidRPr="00E63A94" w:rsidRDefault="00F54088" w:rsidP="00F54088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t>Students should: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See the “big picture” in a problem and look for patterns in intermediary results.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Identify patterns and use previous knowledge to leverage those relationships to solve problems.</w:t>
            </w:r>
          </w:p>
        </w:tc>
        <w:tc>
          <w:tcPr>
            <w:tcW w:w="792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4088" w:rsidRPr="00E63A94" w:rsidRDefault="007A6AD8" w:rsidP="00F54088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TI-Nspire™ </w:t>
            </w:r>
            <w:r w:rsidR="00F54088" w:rsidRPr="00E63A94">
              <w:rPr>
                <w:rFonts w:cstheme="minorHAnsi"/>
                <w:i/>
                <w:sz w:val="21"/>
                <w:szCs w:val="21"/>
              </w:rPr>
              <w:t>Technology and Teaching Tips: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Discuss strategies for identifying the domain and the range from a graph.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When will a function have a restricted domain?  Discuss ways to determine this from the graph.</w:t>
            </w:r>
          </w:p>
          <w:p w:rsidR="00316A31" w:rsidRPr="00E63A94" w:rsidRDefault="001C4055" w:rsidP="00316A31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t>TI-Nspire</w:t>
            </w:r>
            <w:r w:rsidR="00316A31" w:rsidRPr="00E63A94">
              <w:rPr>
                <w:rFonts w:cstheme="minorHAnsi"/>
                <w:i/>
                <w:sz w:val="21"/>
                <w:szCs w:val="21"/>
              </w:rPr>
              <w:t>™  Navigator™ System Extension: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5"/>
              </w:numPr>
              <w:spacing w:after="120"/>
              <w:ind w:left="792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Have students examine a pattern in a function or geometric relationship. Send an open-response Quick Poll to find out what they notice.</w:t>
            </w:r>
          </w:p>
        </w:tc>
      </w:tr>
      <w:tr w:rsidR="00F54088" w:rsidRPr="00E63A94" w:rsidTr="000925B3">
        <w:trPr>
          <w:trHeight w:val="288"/>
        </w:trPr>
        <w:tc>
          <w:tcPr>
            <w:tcW w:w="1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088" w:rsidRPr="00E63A94" w:rsidRDefault="00F54088" w:rsidP="00B02475">
            <w:pPr>
              <w:spacing w:before="12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63A94">
              <w:rPr>
                <w:rFonts w:cstheme="minorHAnsi"/>
                <w:b/>
                <w:sz w:val="21"/>
                <w:szCs w:val="21"/>
              </w:rPr>
              <w:t>8.  Look for and express regularity in repeated reasoning.</w:t>
            </w:r>
          </w:p>
        </w:tc>
      </w:tr>
      <w:tr w:rsidR="00F54088" w:rsidRPr="00E63A94" w:rsidTr="00B02475">
        <w:trPr>
          <w:trHeight w:val="2798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088" w:rsidRPr="00E63A94" w:rsidRDefault="00F54088" w:rsidP="00F54088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t>Students should: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Discern patterns in calculations and formulas.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Use previous knowledge to find and apply general methods to solve problems.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Attend to details and evaluate the reasonableness in intermediary results.</w:t>
            </w:r>
          </w:p>
          <w:p w:rsidR="00F54088" w:rsidRPr="00E63A94" w:rsidRDefault="00F54088" w:rsidP="00F54088">
            <w:pPr>
              <w:spacing w:after="1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8" w:rsidRPr="00E63A94" w:rsidRDefault="007A6AD8" w:rsidP="00F54088">
            <w:pPr>
              <w:spacing w:after="12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TI-Nspire™ </w:t>
            </w:r>
            <w:r w:rsidR="00F54088" w:rsidRPr="00E63A94">
              <w:rPr>
                <w:rFonts w:cstheme="minorHAnsi"/>
                <w:i/>
                <w:sz w:val="21"/>
                <w:szCs w:val="21"/>
              </w:rPr>
              <w:t>Technology and Teaching Tips</w:t>
            </w:r>
            <w:r w:rsidR="00F54088" w:rsidRPr="00E63A94">
              <w:rPr>
                <w:rFonts w:cstheme="minorHAnsi"/>
                <w:sz w:val="21"/>
                <w:szCs w:val="21"/>
              </w:rPr>
              <w:t>:</w:t>
            </w:r>
          </w:p>
          <w:p w:rsidR="00F54088" w:rsidRPr="00E63A94" w:rsidRDefault="00F54088" w:rsidP="00F5408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 xml:space="preserve">Discuss whether it is possible for two different functions to have the same domain and range.  Ask students to provide examples to prove/disprove their conjecture.  </w:t>
            </w:r>
          </w:p>
          <w:p w:rsidR="00F54088" w:rsidRPr="00E63A94" w:rsidRDefault="00F54088" w:rsidP="001C4055">
            <w:pPr>
              <w:spacing w:after="120"/>
              <w:rPr>
                <w:rFonts w:cstheme="minorHAnsi"/>
                <w:i/>
                <w:sz w:val="21"/>
                <w:szCs w:val="21"/>
              </w:rPr>
            </w:pPr>
            <w:r w:rsidRPr="00E63A94">
              <w:rPr>
                <w:rFonts w:cstheme="minorHAnsi"/>
                <w:i/>
                <w:sz w:val="21"/>
                <w:szCs w:val="21"/>
              </w:rPr>
              <w:t>TI-Nspire™  Navigator™  System Extension</w:t>
            </w:r>
            <w:r w:rsidR="0023586B">
              <w:rPr>
                <w:rFonts w:cstheme="minorHAnsi"/>
                <w:i/>
                <w:sz w:val="21"/>
                <w:szCs w:val="21"/>
              </w:rPr>
              <w:t>:</w:t>
            </w:r>
            <w:bookmarkStart w:id="0" w:name="_GoBack"/>
            <w:bookmarkEnd w:id="0"/>
          </w:p>
          <w:p w:rsidR="00F54088" w:rsidRPr="00E63A94" w:rsidRDefault="00F54088" w:rsidP="00E63A94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63A94">
              <w:rPr>
                <w:rFonts w:asciiTheme="minorHAnsi" w:hAnsiTheme="minorHAnsi" w:cstheme="minorHAnsi"/>
                <w:sz w:val="21"/>
                <w:szCs w:val="21"/>
              </w:rPr>
              <w:t>Use Class Capture to display students’ screens for the above discussion.  Allow students to comment on their work and to use their examples to support their conjectures.</w:t>
            </w:r>
          </w:p>
        </w:tc>
      </w:tr>
    </w:tbl>
    <w:p w:rsidR="00041137" w:rsidRPr="00171331" w:rsidRDefault="00041137" w:rsidP="00F54088">
      <w:pPr>
        <w:rPr>
          <w:rFonts w:cstheme="minorHAnsi"/>
          <w:sz w:val="21"/>
          <w:szCs w:val="21"/>
        </w:rPr>
      </w:pPr>
    </w:p>
    <w:sectPr w:rsidR="00041137" w:rsidRPr="00171331" w:rsidSect="00001F2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93" w:rsidRDefault="007D1293" w:rsidP="00C950F8">
      <w:pPr>
        <w:spacing w:after="0" w:line="240" w:lineRule="auto"/>
      </w:pPr>
      <w:r>
        <w:separator/>
      </w:r>
    </w:p>
  </w:endnote>
  <w:endnote w:type="continuationSeparator" w:id="0">
    <w:p w:rsidR="007D1293" w:rsidRDefault="007D1293" w:rsidP="00C9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F8" w:rsidRPr="00614F2C" w:rsidRDefault="00C950F8" w:rsidP="007507E5">
    <w:pPr>
      <w:tabs>
        <w:tab w:val="center" w:pos="6480"/>
        <w:tab w:val="right" w:pos="13950"/>
      </w:tabs>
      <w:spacing w:after="0" w:line="240" w:lineRule="auto"/>
      <w:ind w:left="-990"/>
      <w:rPr>
        <w:rFonts w:ascii="Arial" w:eastAsia="Times New Roman" w:hAnsi="Arial" w:cs="Arial"/>
        <w:sz w:val="16"/>
        <w:szCs w:val="16"/>
      </w:rPr>
    </w:pPr>
    <w:r w:rsidRPr="00614F2C">
      <w:rPr>
        <w:rFonts w:ascii="Arial" w:eastAsia="Times New Roman" w:hAnsi="Arial" w:cs="Arial"/>
        <w:b/>
        <w:smallCaps/>
        <w:sz w:val="18"/>
        <w:szCs w:val="18"/>
      </w:rPr>
      <w:t xml:space="preserve">©2013 </w:t>
    </w:r>
    <w:r w:rsidRPr="00614F2C">
      <w:rPr>
        <w:rFonts w:ascii="Arial" w:eastAsia="Times New Roman" w:hAnsi="Arial" w:cs="Arial"/>
        <w:b/>
        <w:sz w:val="16"/>
        <w:szCs w:val="16"/>
      </w:rPr>
      <w:t>Texas Instruments Incorporated</w:t>
    </w:r>
    <w:r w:rsidRPr="00614F2C">
      <w:rPr>
        <w:rFonts w:ascii="Arial" w:eastAsia="Times New Roman" w:hAnsi="Arial" w:cs="Arial"/>
        <w:b/>
        <w:smallCaps/>
        <w:sz w:val="18"/>
        <w:szCs w:val="18"/>
      </w:rPr>
      <w:tab/>
    </w:r>
    <w:r w:rsidRPr="00614F2C">
      <w:rPr>
        <w:rFonts w:ascii="Arial" w:eastAsia="Times New Roman" w:hAnsi="Arial" w:cs="Arial"/>
        <w:b/>
        <w:sz w:val="18"/>
        <w:szCs w:val="18"/>
      </w:rPr>
      <w:fldChar w:fldCharType="begin"/>
    </w:r>
    <w:r w:rsidRPr="00614F2C">
      <w:rPr>
        <w:rFonts w:ascii="Arial" w:eastAsia="Times New Roman" w:hAnsi="Arial" w:cs="Arial"/>
        <w:b/>
        <w:sz w:val="18"/>
        <w:szCs w:val="18"/>
      </w:rPr>
      <w:instrText xml:space="preserve"> PAGE </w:instrText>
    </w:r>
    <w:r w:rsidRPr="00614F2C">
      <w:rPr>
        <w:rFonts w:ascii="Arial" w:eastAsia="Times New Roman" w:hAnsi="Arial" w:cs="Arial"/>
        <w:b/>
        <w:sz w:val="18"/>
        <w:szCs w:val="18"/>
      </w:rPr>
      <w:fldChar w:fldCharType="separate"/>
    </w:r>
    <w:r w:rsidR="0023586B">
      <w:rPr>
        <w:rFonts w:ascii="Arial" w:eastAsia="Times New Roman" w:hAnsi="Arial" w:cs="Arial"/>
        <w:b/>
        <w:noProof/>
        <w:sz w:val="18"/>
        <w:szCs w:val="18"/>
      </w:rPr>
      <w:t>2</w:t>
    </w:r>
    <w:r w:rsidRPr="00614F2C">
      <w:rPr>
        <w:rFonts w:ascii="Arial" w:eastAsia="Times New Roman" w:hAnsi="Arial" w:cs="Arial"/>
        <w:b/>
        <w:sz w:val="18"/>
        <w:szCs w:val="18"/>
      </w:rPr>
      <w:fldChar w:fldCharType="end"/>
    </w:r>
    <w:r w:rsidRPr="00614F2C">
      <w:rPr>
        <w:rFonts w:ascii="Times New Roman" w:eastAsia="Times New Roman" w:hAnsi="Times New Roman" w:cs="Times New Roman"/>
        <w:sz w:val="24"/>
        <w:szCs w:val="24"/>
      </w:rPr>
      <w:tab/>
    </w:r>
    <w:r w:rsidRPr="00614F2C">
      <w:rPr>
        <w:rFonts w:ascii="Arial" w:eastAsia="Times New Roman" w:hAnsi="Arial" w:cs="Arial"/>
        <w:b/>
        <w:sz w:val="16"/>
        <w:szCs w:val="16"/>
      </w:rPr>
      <w:t>education.ti.com</w:t>
    </w:r>
    <w:r w:rsidR="007507E5">
      <w:rPr>
        <w:rFonts w:ascii="Arial" w:eastAsia="Times New Roman" w:hAnsi="Arial" w:cs="Arial"/>
        <w:b/>
        <w:sz w:val="16"/>
        <w:szCs w:val="16"/>
      </w:rPr>
      <w:t>/us/</w:t>
    </w:r>
    <w:proofErr w:type="spellStart"/>
    <w:r w:rsidR="007507E5">
      <w:rPr>
        <w:rFonts w:ascii="Arial" w:eastAsia="Times New Roman" w:hAnsi="Arial" w:cs="Arial"/>
        <w:b/>
        <w:sz w:val="16"/>
        <w:szCs w:val="16"/>
      </w:rPr>
      <w:t>ccss</w:t>
    </w:r>
    <w:proofErr w:type="spellEnd"/>
  </w:p>
  <w:p w:rsidR="00C950F8" w:rsidRDefault="00C950F8">
    <w:pPr>
      <w:pStyle w:val="Footer"/>
    </w:pPr>
  </w:p>
  <w:p w:rsidR="00C950F8" w:rsidRDefault="00C95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93" w:rsidRDefault="007D1293" w:rsidP="00C950F8">
      <w:pPr>
        <w:spacing w:after="0" w:line="240" w:lineRule="auto"/>
      </w:pPr>
      <w:r>
        <w:separator/>
      </w:r>
    </w:p>
  </w:footnote>
  <w:footnote w:type="continuationSeparator" w:id="0">
    <w:p w:rsidR="007D1293" w:rsidRDefault="007D1293" w:rsidP="00C9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8D" w:rsidRDefault="00EA1BA6" w:rsidP="00001F22">
    <w:pPr>
      <w:pBdr>
        <w:bottom w:val="single" w:sz="4" w:space="1" w:color="auto"/>
      </w:pBdr>
      <w:tabs>
        <w:tab w:val="left" w:pos="720"/>
        <w:tab w:val="left" w:pos="7200"/>
        <w:tab w:val="right" w:pos="9360"/>
      </w:tabs>
      <w:spacing w:after="0" w:line="240" w:lineRule="auto"/>
      <w:ind w:left="720" w:hanging="720"/>
      <w:jc w:val="center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 xml:space="preserve"> </w:t>
    </w:r>
    <w:r w:rsidR="00C950F8">
      <w:rPr>
        <w:rFonts w:ascii="Arial" w:eastAsia="Times New Roman" w:hAnsi="Arial" w:cs="Arial"/>
        <w:b/>
        <w:sz w:val="28"/>
        <w:szCs w:val="28"/>
      </w:rPr>
      <w:t xml:space="preserve">CCSS Math Practices </w:t>
    </w:r>
    <w:r w:rsidR="00F10283">
      <w:rPr>
        <w:rFonts w:ascii="Arial" w:eastAsia="Times New Roman" w:hAnsi="Arial" w:cs="Arial"/>
        <w:b/>
        <w:sz w:val="28"/>
        <w:szCs w:val="28"/>
      </w:rPr>
      <w:t xml:space="preserve">Alignment </w:t>
    </w:r>
    <w:r w:rsidR="007A078D">
      <w:rPr>
        <w:rFonts w:ascii="Arial" w:eastAsia="Times New Roman" w:hAnsi="Arial" w:cs="Arial"/>
        <w:b/>
        <w:sz w:val="28"/>
        <w:szCs w:val="28"/>
      </w:rPr>
      <w:t>Sample</w:t>
    </w:r>
  </w:p>
  <w:p w:rsidR="00B02475" w:rsidRPr="00B02475" w:rsidRDefault="007A078D" w:rsidP="00B02475">
    <w:pPr>
      <w:pBdr>
        <w:bottom w:val="single" w:sz="4" w:space="1" w:color="auto"/>
      </w:pBdr>
      <w:tabs>
        <w:tab w:val="left" w:pos="720"/>
        <w:tab w:val="left" w:pos="7200"/>
        <w:tab w:val="right" w:pos="9360"/>
      </w:tabs>
      <w:spacing w:after="100" w:afterAutospacing="1" w:line="240" w:lineRule="auto"/>
      <w:ind w:left="720" w:hanging="720"/>
      <w:jc w:val="center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 xml:space="preserve">Activity: </w:t>
    </w:r>
    <w:r w:rsidR="008C05A2">
      <w:rPr>
        <w:rFonts w:ascii="Arial" w:eastAsia="Times New Roman" w:hAnsi="Arial" w:cs="Arial"/>
        <w:b/>
        <w:sz w:val="28"/>
        <w:szCs w:val="28"/>
      </w:rPr>
      <w:t xml:space="preserve"> “Domain and Range”</w:t>
    </w:r>
    <w:r>
      <w:rPr>
        <w:rFonts w:ascii="Arial" w:eastAsia="Times New Roman" w:hAnsi="Arial" w:cs="Arial"/>
        <w:b/>
        <w:sz w:val="28"/>
        <w:szCs w:val="28"/>
      </w:rPr>
      <w:t xml:space="preserve"> for T</w:t>
    </w:r>
    <w:r w:rsidR="008C05A2">
      <w:rPr>
        <w:rFonts w:ascii="Arial" w:eastAsia="Times New Roman" w:hAnsi="Arial" w:cs="Arial"/>
        <w:b/>
        <w:sz w:val="28"/>
        <w:szCs w:val="28"/>
      </w:rPr>
      <w:t xml:space="preserve">I-Nspire™ </w:t>
    </w:r>
    <w:r w:rsidR="007A6AD8">
      <w:rPr>
        <w:rFonts w:ascii="Arial" w:eastAsia="Times New Roman" w:hAnsi="Arial" w:cs="Arial"/>
        <w:b/>
        <w:sz w:val="28"/>
        <w:szCs w:val="28"/>
      </w:rPr>
      <w:t>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3601"/>
    <w:multiLevelType w:val="hybridMultilevel"/>
    <w:tmpl w:val="3D58C7A6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0167E"/>
    <w:multiLevelType w:val="hybridMultilevel"/>
    <w:tmpl w:val="714AA33C"/>
    <w:lvl w:ilvl="0" w:tplc="E344648A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7AA8"/>
    <w:multiLevelType w:val="hybridMultilevel"/>
    <w:tmpl w:val="8936491C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801"/>
    <w:multiLevelType w:val="hybridMultilevel"/>
    <w:tmpl w:val="8B8851EE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57713"/>
    <w:multiLevelType w:val="hybridMultilevel"/>
    <w:tmpl w:val="F9282E84"/>
    <w:lvl w:ilvl="0" w:tplc="A5820324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647AC"/>
    <w:multiLevelType w:val="hybridMultilevel"/>
    <w:tmpl w:val="994C83EA"/>
    <w:lvl w:ilvl="0" w:tplc="073A835A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D4CCD"/>
    <w:multiLevelType w:val="hybridMultilevel"/>
    <w:tmpl w:val="64F8E13E"/>
    <w:lvl w:ilvl="0" w:tplc="C96014C6">
      <w:start w:val="2"/>
      <w:numFmt w:val="bullet"/>
      <w:lvlText w:val="-"/>
      <w:lvlJc w:val="left"/>
      <w:pPr>
        <w:ind w:left="81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44C2A"/>
    <w:multiLevelType w:val="hybridMultilevel"/>
    <w:tmpl w:val="4B86D658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51F4"/>
    <w:multiLevelType w:val="hybridMultilevel"/>
    <w:tmpl w:val="87B0D082"/>
    <w:lvl w:ilvl="0" w:tplc="C96014C6">
      <w:start w:val="2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A4C0A"/>
    <w:multiLevelType w:val="hybridMultilevel"/>
    <w:tmpl w:val="5672A6F6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B1250"/>
    <w:multiLevelType w:val="hybridMultilevel"/>
    <w:tmpl w:val="80A6CAE8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8043C"/>
    <w:multiLevelType w:val="hybridMultilevel"/>
    <w:tmpl w:val="3BFA3532"/>
    <w:lvl w:ilvl="0" w:tplc="CD98E35E">
      <w:start w:val="8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71FAB"/>
    <w:multiLevelType w:val="hybridMultilevel"/>
    <w:tmpl w:val="41EA0C46"/>
    <w:lvl w:ilvl="0" w:tplc="C96014C6">
      <w:start w:val="2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E628C7"/>
    <w:multiLevelType w:val="hybridMultilevel"/>
    <w:tmpl w:val="46E05C28"/>
    <w:lvl w:ilvl="0" w:tplc="7578F90E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B7B0C"/>
    <w:multiLevelType w:val="hybridMultilevel"/>
    <w:tmpl w:val="8220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28"/>
    <w:rsid w:val="00001F22"/>
    <w:rsid w:val="00013203"/>
    <w:rsid w:val="0002062E"/>
    <w:rsid w:val="00024F57"/>
    <w:rsid w:val="00036802"/>
    <w:rsid w:val="00041137"/>
    <w:rsid w:val="00070AAE"/>
    <w:rsid w:val="000A482C"/>
    <w:rsid w:val="000D0BF5"/>
    <w:rsid w:val="000D3F11"/>
    <w:rsid w:val="000D6A29"/>
    <w:rsid w:val="000F795F"/>
    <w:rsid w:val="00110A59"/>
    <w:rsid w:val="00115487"/>
    <w:rsid w:val="00121753"/>
    <w:rsid w:val="00171331"/>
    <w:rsid w:val="00185868"/>
    <w:rsid w:val="00197350"/>
    <w:rsid w:val="001B049A"/>
    <w:rsid w:val="001C020E"/>
    <w:rsid w:val="001C4055"/>
    <w:rsid w:val="001D788E"/>
    <w:rsid w:val="001E49B7"/>
    <w:rsid w:val="00200BDC"/>
    <w:rsid w:val="00201F6D"/>
    <w:rsid w:val="0023586B"/>
    <w:rsid w:val="00316A31"/>
    <w:rsid w:val="003A3EA9"/>
    <w:rsid w:val="003A5F0E"/>
    <w:rsid w:val="003B049E"/>
    <w:rsid w:val="003B095C"/>
    <w:rsid w:val="003E7D38"/>
    <w:rsid w:val="003F0AFF"/>
    <w:rsid w:val="00407206"/>
    <w:rsid w:val="0042347B"/>
    <w:rsid w:val="004303ED"/>
    <w:rsid w:val="00433E38"/>
    <w:rsid w:val="00455593"/>
    <w:rsid w:val="0045668C"/>
    <w:rsid w:val="00475E28"/>
    <w:rsid w:val="004A067B"/>
    <w:rsid w:val="004B086F"/>
    <w:rsid w:val="00504112"/>
    <w:rsid w:val="00516E7B"/>
    <w:rsid w:val="0054255C"/>
    <w:rsid w:val="00565591"/>
    <w:rsid w:val="00570BA8"/>
    <w:rsid w:val="00580931"/>
    <w:rsid w:val="00590B3B"/>
    <w:rsid w:val="005A0262"/>
    <w:rsid w:val="005C01B8"/>
    <w:rsid w:val="005D3A3A"/>
    <w:rsid w:val="00605DFA"/>
    <w:rsid w:val="00612250"/>
    <w:rsid w:val="00675C7E"/>
    <w:rsid w:val="00687BED"/>
    <w:rsid w:val="006B64EE"/>
    <w:rsid w:val="006D5E83"/>
    <w:rsid w:val="006E7903"/>
    <w:rsid w:val="0073482B"/>
    <w:rsid w:val="007507E5"/>
    <w:rsid w:val="00750DB7"/>
    <w:rsid w:val="007A078D"/>
    <w:rsid w:val="007A1677"/>
    <w:rsid w:val="007A6AD8"/>
    <w:rsid w:val="007D1293"/>
    <w:rsid w:val="007F5C82"/>
    <w:rsid w:val="00820EA2"/>
    <w:rsid w:val="0082407E"/>
    <w:rsid w:val="00833C0E"/>
    <w:rsid w:val="008403A6"/>
    <w:rsid w:val="008628B8"/>
    <w:rsid w:val="00865543"/>
    <w:rsid w:val="00881E23"/>
    <w:rsid w:val="00886E61"/>
    <w:rsid w:val="008A31A9"/>
    <w:rsid w:val="008C05A2"/>
    <w:rsid w:val="008F7BBF"/>
    <w:rsid w:val="009304E1"/>
    <w:rsid w:val="00931250"/>
    <w:rsid w:val="00943DC1"/>
    <w:rsid w:val="009C0262"/>
    <w:rsid w:val="009E5B94"/>
    <w:rsid w:val="009E717B"/>
    <w:rsid w:val="00A260B5"/>
    <w:rsid w:val="00A42051"/>
    <w:rsid w:val="00A66FA6"/>
    <w:rsid w:val="00B02475"/>
    <w:rsid w:val="00B174D4"/>
    <w:rsid w:val="00B17EDD"/>
    <w:rsid w:val="00BB7250"/>
    <w:rsid w:val="00BC1A7C"/>
    <w:rsid w:val="00BC7A72"/>
    <w:rsid w:val="00BF21F1"/>
    <w:rsid w:val="00BF45CB"/>
    <w:rsid w:val="00C07406"/>
    <w:rsid w:val="00C31C90"/>
    <w:rsid w:val="00C35A54"/>
    <w:rsid w:val="00C52CA1"/>
    <w:rsid w:val="00C950F8"/>
    <w:rsid w:val="00CB1E3E"/>
    <w:rsid w:val="00CF068B"/>
    <w:rsid w:val="00D11564"/>
    <w:rsid w:val="00D34187"/>
    <w:rsid w:val="00D95D96"/>
    <w:rsid w:val="00DB7CCE"/>
    <w:rsid w:val="00E012EA"/>
    <w:rsid w:val="00E11B83"/>
    <w:rsid w:val="00E37161"/>
    <w:rsid w:val="00E43672"/>
    <w:rsid w:val="00E5263F"/>
    <w:rsid w:val="00E63A94"/>
    <w:rsid w:val="00E80D21"/>
    <w:rsid w:val="00E869DB"/>
    <w:rsid w:val="00EA1BA6"/>
    <w:rsid w:val="00EC10DA"/>
    <w:rsid w:val="00F10283"/>
    <w:rsid w:val="00F54088"/>
    <w:rsid w:val="00F83670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A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E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E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F8"/>
  </w:style>
  <w:style w:type="paragraph" w:styleId="Footer">
    <w:name w:val="footer"/>
    <w:basedOn w:val="Normal"/>
    <w:link w:val="Foot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A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3E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E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0F8"/>
  </w:style>
  <w:style w:type="paragraph" w:styleId="Footer">
    <w:name w:val="footer"/>
    <w:basedOn w:val="Normal"/>
    <w:link w:val="FooterChar"/>
    <w:uiPriority w:val="99"/>
    <w:unhideWhenUsed/>
    <w:rsid w:val="00C9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16EC-ED00-4BC6-801A-A3C7C825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Instruments</dc:creator>
  <cp:lastModifiedBy>Cara Kugler</cp:lastModifiedBy>
  <cp:revision>10</cp:revision>
  <cp:lastPrinted>2013-09-18T17:06:00Z</cp:lastPrinted>
  <dcterms:created xsi:type="dcterms:W3CDTF">2013-09-20T05:11:00Z</dcterms:created>
  <dcterms:modified xsi:type="dcterms:W3CDTF">2013-09-20T17:55:00Z</dcterms:modified>
</cp:coreProperties>
</file>