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FF29EF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9E0DAE" w:rsidP="004A4D1F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</w:t>
            </w:r>
            <w:bookmarkStart w:id="0" w:name="_GoBack"/>
            <w:bookmarkEnd w:id="0"/>
            <w:r w:rsidR="005752E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and Algebra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4967F4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Compound Interest</w:t>
            </w:r>
          </w:p>
        </w:tc>
      </w:tr>
      <w:tr w:rsidR="00450551" w:rsidRPr="00A4348D" w:rsidTr="00FF29EF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F29EF">
        <w:trPr>
          <w:trHeight w:val="260"/>
        </w:trPr>
        <w:tc>
          <w:tcPr>
            <w:tcW w:w="8118" w:type="dxa"/>
            <w:gridSpan w:val="3"/>
          </w:tcPr>
          <w:p w:rsidR="00450551" w:rsidRPr="004967F4" w:rsidRDefault="004967F4" w:rsidP="004967F4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 and Dale want to purchase the same Jet Ski that costs $15,900 US.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Steve invested $x US in an account that pays an annual interest of 2.9% compounded monthly.  After 10 years, he will have $15,900 US in the account.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Dale invested $8,000 US for </w:t>
            </w:r>
            <w:r w:rsidRPr="004967F4">
              <w:rPr>
                <w:rFonts w:ascii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years.  The investment has an annual interest rate of 2.5% compounded quarterly.  After </w:t>
            </w:r>
            <w:r w:rsidRPr="004967F4">
              <w:rPr>
                <w:rFonts w:ascii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years, the investment will be worth $15,900 US.</w:t>
            </w:r>
            <w:r w:rsidR="00450551" w:rsidRPr="004967F4">
              <w:rPr>
                <w:rFonts w:ascii="Arial" w:hAnsi="Arial" w:cs="Arial"/>
                <w:sz w:val="24"/>
                <w:szCs w:val="24"/>
              </w:rPr>
              <w:br/>
            </w:r>
          </w:p>
          <w:p w:rsidR="00450551" w:rsidRDefault="004967F4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Steve’s initial investment, x, to two decimal places</w:t>
            </w:r>
            <w:r w:rsidR="00450551">
              <w:rPr>
                <w:rFonts w:ascii="Arial" w:hAnsi="Arial" w:cs="Arial"/>
                <w:sz w:val="24"/>
                <w:szCs w:val="24"/>
              </w:rPr>
              <w:br/>
            </w:r>
          </w:p>
          <w:p w:rsidR="00C22F9B" w:rsidRPr="004967F4" w:rsidRDefault="004967F4" w:rsidP="004967F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value of </w:t>
            </w:r>
            <w:r w:rsidRPr="004967F4">
              <w:rPr>
                <w:rFonts w:ascii="Arial" w:hAnsi="Arial" w:cs="Arial"/>
                <w:i/>
                <w:sz w:val="24"/>
                <w:szCs w:val="24"/>
              </w:rPr>
              <w:t>n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967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marks)</w:t>
            </w:r>
            <w:r>
              <w:rPr>
                <w:rFonts w:ascii="Arial" w:hAnsi="Arial" w:cs="Arial"/>
              </w:rPr>
              <w:br/>
            </w:r>
          </w:p>
          <w:p w:rsidR="00450551" w:rsidRPr="00450551" w:rsidRDefault="004967F4" w:rsidP="004967F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marks)</w:t>
            </w:r>
          </w:p>
        </w:tc>
      </w:tr>
      <w:tr w:rsidR="00C22F9B" w:rsidRPr="00A4348D" w:rsidTr="00FF29EF">
        <w:trPr>
          <w:trHeight w:val="260"/>
        </w:trPr>
        <w:tc>
          <w:tcPr>
            <w:tcW w:w="622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EF43A4" w:rsidRPr="00D352F5" w:rsidRDefault="004967F4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15900=x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1+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.029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12∙18</m:t>
                  </m:r>
                </m:sup>
              </m:sSup>
            </m:oMath>
          </w:p>
          <w:p w:rsidR="00D352F5" w:rsidRPr="00D352F5" w:rsidRDefault="00D352F5" w:rsidP="00D352F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352F5" w:rsidRPr="00D352F5" w:rsidRDefault="00D352F5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x=$11,901.55</m:t>
                </m:r>
              </m:oMath>
            </m:oMathPara>
          </w:p>
          <w:p w:rsidR="00D352F5" w:rsidRDefault="00D352F5" w:rsidP="00D352F5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D352F5" w:rsidRDefault="00D352F5" w:rsidP="00D352F5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Solver:</w:t>
            </w:r>
          </w:p>
          <w:p w:rsidR="00D352F5" w:rsidRDefault="00D352F5" w:rsidP="00D352F5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= 10</w:t>
            </w:r>
            <w:r>
              <w:rPr>
                <w:rFonts w:ascii="Arial" w:hAnsi="Arial" w:cs="Arial"/>
                <w:sz w:val="24"/>
                <w:szCs w:val="24"/>
              </w:rPr>
              <w:br/>
              <w:t>I = 2.9</w:t>
            </w:r>
            <w:r>
              <w:rPr>
                <w:rFonts w:ascii="Arial" w:hAnsi="Arial" w:cs="Arial"/>
                <w:sz w:val="24"/>
                <w:szCs w:val="24"/>
              </w:rPr>
              <w:br/>
              <w:t>FV = +/- 15900</w:t>
            </w:r>
            <w:r>
              <w:rPr>
                <w:rFonts w:ascii="Arial" w:hAnsi="Arial" w:cs="Arial"/>
                <w:sz w:val="24"/>
                <w:szCs w:val="24"/>
              </w:rPr>
              <w:br/>
              <w:t>PY = 1</w:t>
            </w:r>
            <w:r>
              <w:rPr>
                <w:rFonts w:ascii="Arial" w:hAnsi="Arial" w:cs="Arial"/>
                <w:sz w:val="24"/>
                <w:szCs w:val="24"/>
              </w:rPr>
              <w:br/>
              <w:t>CY = 12</w:t>
            </w:r>
          </w:p>
          <w:p w:rsidR="00EF43A4" w:rsidRPr="00D352F5" w:rsidRDefault="00D352F5" w:rsidP="00D352F5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D352F5">
              <w:rPr>
                <w:rFonts w:ascii="Arial" w:hAnsi="Arial" w:cs="Arial"/>
                <w:i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= $11,901.55</w:t>
            </w: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(M1)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Use of compound interest formula</w:t>
            </w: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(A1)</w:t>
            </w:r>
            <w:r w:rsidR="00D352F5">
              <w:rPr>
                <w:rFonts w:ascii="Arial" w:hAnsi="Arial" w:cs="Arial"/>
                <w:sz w:val="24"/>
                <w:szCs w:val="24"/>
              </w:rPr>
              <w:t xml:space="preserve">  Correct Substitutions</w:t>
            </w:r>
          </w:p>
          <w:p w:rsidR="00D352F5" w:rsidRPr="00C22F9B" w:rsidRDefault="00D352F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(A1) </w:t>
            </w:r>
          </w:p>
          <w:p w:rsidR="00D352F5" w:rsidRDefault="00D352F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352F5" w:rsidRDefault="00D352F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D352F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22F9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22F9B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t xml:space="preserve"> for CY = 12</w:t>
            </w:r>
            <w:r>
              <w:rPr>
                <w:rFonts w:ascii="Arial" w:hAnsi="Arial" w:cs="Arial"/>
                <w:sz w:val="24"/>
                <w:szCs w:val="24"/>
              </w:rPr>
              <w:br/>
              <w:t>(M1) for all other correct entries</w:t>
            </w:r>
          </w:p>
          <w:p w:rsidR="00C22F9B" w:rsidRPr="00C22F9B" w:rsidRDefault="00EF43A4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</w:tc>
      </w:tr>
    </w:tbl>
    <w:p w:rsidR="00D352F5" w:rsidRDefault="00D352F5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28"/>
        <w:gridCol w:w="4788"/>
      </w:tblGrid>
      <w:tr w:rsidR="00D352F5" w:rsidRPr="00A4348D" w:rsidTr="00FF29EF">
        <w:trPr>
          <w:trHeight w:val="260"/>
        </w:trPr>
        <w:tc>
          <w:tcPr>
            <w:tcW w:w="6228" w:type="dxa"/>
          </w:tcPr>
          <w:p w:rsidR="00D352F5" w:rsidRDefault="00D352F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352F5" w:rsidRDefault="00D352F5" w:rsidP="00D352F5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15900=8000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1+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.025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n∙4</m:t>
                  </m:r>
                </m:sup>
              </m:sSup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D352F5" w:rsidRDefault="00D352F5" w:rsidP="00D352F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x=28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years</w:t>
            </w:r>
          </w:p>
          <w:p w:rsidR="00D352F5" w:rsidRDefault="00D352F5" w:rsidP="00D352F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352F5" w:rsidRDefault="00D352F5" w:rsidP="00D352F5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D352F5" w:rsidRDefault="00D352F5" w:rsidP="00D352F5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Solver</w:t>
            </w:r>
          </w:p>
          <w:p w:rsidR="00D352F5" w:rsidRDefault="00D352F5" w:rsidP="00D352F5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= 2.5</w:t>
            </w:r>
            <w:r>
              <w:rPr>
                <w:rFonts w:ascii="Arial" w:hAnsi="Arial" w:cs="Arial"/>
                <w:sz w:val="24"/>
                <w:szCs w:val="24"/>
              </w:rPr>
              <w:br/>
              <w:t>PV = 8000</w:t>
            </w:r>
            <w:r>
              <w:rPr>
                <w:rFonts w:ascii="Arial" w:hAnsi="Arial" w:cs="Arial"/>
                <w:sz w:val="24"/>
                <w:szCs w:val="24"/>
              </w:rPr>
              <w:br/>
              <w:t>FV = -15900</w:t>
            </w:r>
            <w:r>
              <w:rPr>
                <w:rFonts w:ascii="Arial" w:hAnsi="Arial" w:cs="Arial"/>
                <w:sz w:val="24"/>
                <w:szCs w:val="24"/>
              </w:rPr>
              <w:br/>
              <w:t>PY = 1</w:t>
            </w:r>
            <w:r>
              <w:rPr>
                <w:rFonts w:ascii="Arial" w:hAnsi="Arial" w:cs="Arial"/>
                <w:sz w:val="24"/>
                <w:szCs w:val="24"/>
              </w:rPr>
              <w:br/>
              <w:t>CY = 4</w:t>
            </w:r>
          </w:p>
          <w:p w:rsidR="00FF29EF" w:rsidRPr="00D352F5" w:rsidRDefault="00FF29EF" w:rsidP="00D352F5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FF29EF">
              <w:rPr>
                <w:rFonts w:ascii="Arial" w:hAnsi="Arial" w:cs="Arial"/>
                <w:i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= 28 years</w:t>
            </w:r>
          </w:p>
        </w:tc>
        <w:tc>
          <w:tcPr>
            <w:tcW w:w="4788" w:type="dxa"/>
          </w:tcPr>
          <w:p w:rsidR="00D352F5" w:rsidRDefault="00D352F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352F5" w:rsidRDefault="00D352F5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 Use of compound interest formula</w:t>
            </w:r>
            <w:r>
              <w:rPr>
                <w:rFonts w:ascii="Arial" w:hAnsi="Arial" w:cs="Arial"/>
                <w:sz w:val="24"/>
                <w:szCs w:val="24"/>
              </w:rPr>
              <w:br/>
              <w:t>(A1) Correct substitutions</w:t>
            </w:r>
          </w:p>
          <w:p w:rsidR="00FF29EF" w:rsidRDefault="00D352F5" w:rsidP="00FF29EF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 w:rsidR="00FF29EF">
              <w:rPr>
                <w:rFonts w:ascii="Arial" w:hAnsi="Arial" w:cs="Arial"/>
                <w:sz w:val="24"/>
                <w:szCs w:val="24"/>
              </w:rPr>
              <w:br/>
            </w:r>
          </w:p>
          <w:p w:rsidR="00FF29EF" w:rsidRDefault="00FF29EF" w:rsidP="00FF29EF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F29EF" w:rsidRDefault="00FF29EF" w:rsidP="00FF29EF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F29EF" w:rsidRDefault="00FF29EF" w:rsidP="00FF29EF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 for CY = 4</w:t>
            </w:r>
            <w:r>
              <w:rPr>
                <w:rFonts w:ascii="Arial" w:hAnsi="Arial" w:cs="Arial"/>
                <w:sz w:val="24"/>
                <w:szCs w:val="24"/>
              </w:rPr>
              <w:br/>
              <w:t>(M1) for all other correct entries</w:t>
            </w:r>
          </w:p>
          <w:p w:rsidR="00FF29EF" w:rsidRPr="00C22F9B" w:rsidRDefault="00FF29EF" w:rsidP="00FF29EF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3A" w:rsidRDefault="0030793A" w:rsidP="001D66AC">
      <w:pPr>
        <w:spacing w:after="0" w:line="240" w:lineRule="auto"/>
      </w:pPr>
      <w:r>
        <w:separator/>
      </w:r>
    </w:p>
  </w:endnote>
  <w:endnote w:type="continuationSeparator" w:id="0">
    <w:p w:rsidR="0030793A" w:rsidRDefault="0030793A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E0DAE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3A" w:rsidRDefault="0030793A" w:rsidP="001D66AC">
      <w:pPr>
        <w:spacing w:after="0" w:line="240" w:lineRule="auto"/>
      </w:pPr>
      <w:r>
        <w:separator/>
      </w:r>
    </w:p>
  </w:footnote>
  <w:footnote w:type="continuationSeparator" w:id="0">
    <w:p w:rsidR="0030793A" w:rsidRDefault="0030793A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A17E298" wp14:editId="215CB2E5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4967F4">
      <w:rPr>
        <w:rFonts w:ascii="Arial" w:hAnsi="Arial" w:cs="Arial"/>
        <w:b/>
        <w:sz w:val="28"/>
        <w:szCs w:val="28"/>
      </w:rPr>
      <w:t>Compound Interest</w:t>
    </w:r>
    <w:r w:rsidR="004967F4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9E0DAE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alt="TI Logo" style="width:272.35pt;height:264.85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72942C60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A4B33"/>
    <w:rsid w:val="002C1A3D"/>
    <w:rsid w:val="002E2D0E"/>
    <w:rsid w:val="0030793A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264D"/>
    <w:rsid w:val="009D4B80"/>
    <w:rsid w:val="009E0DAE"/>
    <w:rsid w:val="009E5305"/>
    <w:rsid w:val="00A04A50"/>
    <w:rsid w:val="00A04C18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E5C3D"/>
    <w:rsid w:val="00AF5DC7"/>
    <w:rsid w:val="00AF756E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B7430"/>
    <w:rsid w:val="00FB7DB3"/>
    <w:rsid w:val="00FD165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897</Characters>
  <Application>Microsoft Office Word</Application>
  <DocSecurity>0</DocSecurity>
  <Lines>112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2019-05-21T18:58:00Z</cp:lastPrinted>
  <dcterms:created xsi:type="dcterms:W3CDTF">2019-05-21T18:59:00Z</dcterms:created>
  <dcterms:modified xsi:type="dcterms:W3CDTF">2019-05-23T21:43:00Z</dcterms:modified>
</cp:coreProperties>
</file>